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4"/>
          <w:rFonts w:hint="default" w:ascii="Helvetica Neue" w:hAnsi="Helvetica Neue" w:eastAsia="Helvetica Neue" w:cs="Helvetica Neue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针对使用北信源内网桌面安全管理平台网管的解决方案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登陆北信源官网指定页面，下载“北信源专杀免疫工具”；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420" w:leftChars="0" w:right="0" w:rightChars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下载链接：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607FA6"/>
          <w:spacing w:val="0"/>
          <w:sz w:val="24"/>
          <w:szCs w:val="24"/>
          <w:u w:val="none"/>
          <w:bdr w:val="none" w:color="auto" w:sz="0" w:space="0"/>
          <w:shd w:val="clear" w:fill="FFFFFF"/>
        </w:rPr>
        <w:t>http://www.vrv.com.cn/index.php?m=content&amp;c=index&amp;a=lists&amp;catid=205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把“北信源专杀免疫工具”上传到服务器，或者将其拷贝到内网服务器的Software目录下，例如：C:\VRV\RegionManage\Distribute\Software；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420" w:leftChars="0" w:right="0" w:rightChars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lang w:eastAsia="zh-CN"/>
        </w:rPr>
      </w:pPr>
      <w:r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lang w:eastAsia="zh-CN"/>
        </w:rPr>
        <w:drawing>
          <wp:inline distT="0" distB="0" distL="114300" distR="114300">
            <wp:extent cx="5274310" cy="3416300"/>
            <wp:effectExtent l="0" t="0" r="2540" b="12700"/>
            <wp:docPr id="15" name="图片 1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lang w:eastAsia="zh-CN"/>
        </w:rPr>
      </w:pPr>
      <w:r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lang w:eastAsia="zh-CN"/>
        </w:rPr>
        <w:drawing>
          <wp:inline distT="0" distB="0" distL="114300" distR="114300">
            <wp:extent cx="5262245" cy="2427605"/>
            <wp:effectExtent l="0" t="0" r="14605" b="10795"/>
            <wp:docPr id="16" name="图片 1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3、通过北信源内网安全管理平台为用户更新MS17-010的微软漏洞补丁；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首先，从微软官网下载补丁，或从北信源补丁服务器下载对应补丁；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然后，把补丁上传到服务器，或者把补丁拷贝到内网服务器Software目录下，例如：C:\VRV\RegionManage\Distribute\Software路径下。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最后，通过北信源文件分发策略，分发补丁；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textAlignment w:val="auto"/>
        <w:outlineLvl w:val="9"/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lang w:eastAsia="zh-CN"/>
        </w:rPr>
      </w:pPr>
      <w:r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lang w:eastAsia="zh-CN"/>
        </w:rPr>
        <w:drawing>
          <wp:inline distT="0" distB="0" distL="114300" distR="114300">
            <wp:extent cx="5273040" cy="2647950"/>
            <wp:effectExtent l="0" t="0" r="3810" b="0"/>
            <wp:docPr id="17" name="图片 1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textAlignment w:val="auto"/>
        <w:outlineLvl w:val="9"/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jc w:val="both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270500" cy="2637155"/>
            <wp:effectExtent l="0" t="0" r="6350" b="10795"/>
            <wp:docPr id="18" name="图片 1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jc w:val="both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66690" cy="2654300"/>
            <wp:effectExtent l="0" t="0" r="10160" b="12700"/>
            <wp:docPr id="19" name="图片 1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4、企业用户如对网络安全有更高要求，可选择以下操作：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（1）开启协议防火墙策略，自动禁止139,445端口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登陆北信源内网安全管理平台，管理控制中心-基本安全-主机安全策略-协议防火墙策略；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新建策略“协议防火墙策略”，对于标准版本的协议防火墙策略配置如下：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如下图所示：点击添加，并将添加好的策略进行分配；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textAlignment w:val="auto"/>
        <w:outlineLvl w:val="9"/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lang w:eastAsia="zh-CN"/>
        </w:rPr>
      </w:pPr>
      <w:r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lang w:eastAsia="zh-CN"/>
        </w:rPr>
        <w:drawing>
          <wp:inline distT="0" distB="0" distL="114300" distR="114300">
            <wp:extent cx="5262245" cy="2863850"/>
            <wp:effectExtent l="0" t="0" r="14605" b="12700"/>
            <wp:docPr id="20" name="图片 20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62880" cy="2861310"/>
            <wp:effectExtent l="0" t="0" r="13970" b="15240"/>
            <wp:docPr id="21" name="图片 2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66690" cy="2689225"/>
            <wp:effectExtent l="0" t="0" r="10160" b="15875"/>
            <wp:docPr id="22" name="图片 22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对于新版本协议防火墙，配置方式如下：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点击添加，并将添加好的策略进行分配；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66690" cy="2540635"/>
            <wp:effectExtent l="0" t="0" r="10160" b="12065"/>
            <wp:docPr id="23" name="图片 2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73040" cy="2608580"/>
            <wp:effectExtent l="0" t="0" r="3810" b="1270"/>
            <wp:docPr id="24" name="图片 24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73040" cy="2406015"/>
            <wp:effectExtent l="0" t="0" r="3810" b="13335"/>
            <wp:docPr id="25" name="图片 25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"http://mmbiz.qpic.cn/mmbiz_jpg/oXvnrmXAqZXdy9JGLkDM7Aulvcib7vuQ9FgvVTtdUlXRHv9p1iclylKqOtaREXaBFQj3eibYsShxkZoVFKY5ibQiagA/640?wx_fmt=jpeg&amp;tp=webp&amp;wxfrom=5&amp;wx_lazy=1"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 descr="IMG_26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这样445端口就全部禁用了，139端口添加方式相同；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在防火墙或者交换机上把445端口封堵，具体方法见对应产品操作手册。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（2）开启进程执行监控策略，自动禁止病毒加密进程tasksche.exe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登陆北信源内网安全管理平台，管理控制中心-基本安全-进程及软件管理-进程执行监控；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新增“进程执行监控策略”策略配置如下：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420"/>
        <w:textAlignment w:val="auto"/>
        <w:outlineLvl w:val="9"/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lang w:eastAsia="zh-CN"/>
        </w:rPr>
        <w:drawing>
          <wp:inline distT="0" distB="0" distL="114300" distR="114300">
            <wp:extent cx="5264150" cy="2649855"/>
            <wp:effectExtent l="0" t="0" r="12700" b="17145"/>
            <wp:docPr id="26" name="图片 26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点击添加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72405" cy="2695575"/>
            <wp:effectExtent l="0" t="0" r="4445" b="9525"/>
            <wp:docPr id="27" name="图片 27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162550" cy="2360930"/>
            <wp:effectExtent l="0" t="0" r="0" b="1270"/>
            <wp:docPr id="28" name="图片 28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"http://mmbiz.qpic.cn/mmbiz_jpg/oXvnrmXAqZXdy9JGLkDM7Aulvcib7vuQ9rCRic9u1cGicUftUN2evufqeJIlWMxoqn3DwdAyZcEd6Mhcz4WGvmokQ/640?wx_fmt=jpeg&amp;tp=webp&amp;wxfrom=5&amp;wx_lazy=1" \* MERGEFORMATINET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 descr="IMG_26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点击分配对象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8829E"/>
    <w:multiLevelType w:val="singleLevel"/>
    <w:tmpl w:val="5918829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188323"/>
    <w:multiLevelType w:val="singleLevel"/>
    <w:tmpl w:val="591883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F1814"/>
    <w:rsid w:val="5F3152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2017-05-14T16:16:54Z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